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C0169" w14:textId="47F6845E" w:rsidR="00750FCB" w:rsidRDefault="002862F9" w:rsidP="00107DB4">
      <w:pPr>
        <w:pStyle w:val="ListParagraph"/>
      </w:pPr>
      <w:r>
        <w:t xml:space="preserve">Hansen’s </w:t>
      </w:r>
      <w:r w:rsidRPr="002862F9">
        <w:rPr>
          <w:i/>
          <w:iCs/>
        </w:rPr>
        <w:t>Pipeline</w:t>
      </w:r>
      <w:r>
        <w:t xml:space="preserve"> claims that 70% of the surface warming impact from CO</w:t>
      </w:r>
      <w:r w:rsidRPr="002862F9">
        <w:rPr>
          <w:vertAlign w:val="subscript"/>
        </w:rPr>
        <w:t>2</w:t>
      </w:r>
      <w:r>
        <w:t xml:space="preserve"> forcing comes from feedbacks and only 30% from its direct greenhouse effect</w:t>
      </w:r>
      <w:r w:rsidR="00BD1F69">
        <w:t xml:space="preserve"> </w:t>
      </w:r>
      <w:r w:rsidR="004720F2">
        <w:t>(</w:t>
      </w:r>
      <w:r w:rsidR="004720F2">
        <w:t>Formula 1)</w:t>
      </w:r>
      <w:r>
        <w:t>.</w:t>
      </w:r>
    </w:p>
    <w:p w14:paraId="7F4EB2BD" w14:textId="43A2092F" w:rsidR="002862F9" w:rsidRDefault="002862F9" w:rsidP="00107DB4">
      <w:pPr>
        <w:pStyle w:val="ListParagraph"/>
        <w:numPr>
          <w:ilvl w:val="1"/>
          <w:numId w:val="12"/>
        </w:numPr>
      </w:pPr>
      <w:r>
        <w:t>Does this also apply to non-CO</w:t>
      </w:r>
      <w:r>
        <w:rPr>
          <w:vertAlign w:val="subscript"/>
        </w:rPr>
        <w:t>2</w:t>
      </w:r>
      <w:r>
        <w:t xml:space="preserve"> GHGs?</w:t>
      </w:r>
    </w:p>
    <w:p w14:paraId="555F5BDA" w14:textId="60BC866E" w:rsidR="002862F9" w:rsidRDefault="002862F9" w:rsidP="00107DB4">
      <w:pPr>
        <w:pStyle w:val="ListParagraph"/>
        <w:numPr>
          <w:ilvl w:val="1"/>
          <w:numId w:val="12"/>
        </w:numPr>
      </w:pPr>
      <w:r>
        <w:t>Does it apply equally irrespective of the sign of the forcing i.e. if CO</w:t>
      </w:r>
      <w:r>
        <w:rPr>
          <w:vertAlign w:val="subscript"/>
        </w:rPr>
        <w:t>2</w:t>
      </w:r>
      <w:r>
        <w:t xml:space="preserve"> is increasing 70% of the warming is from feedbacks, and if it’s decreasing, 70% of the cooling </w:t>
      </w:r>
      <w:r w:rsidR="00B03BAC">
        <w:t>is</w:t>
      </w:r>
      <w:r>
        <w:t xml:space="preserve"> from feedbacks?</w:t>
      </w:r>
    </w:p>
    <w:p w14:paraId="5BC0095E" w14:textId="6780F5F4" w:rsidR="002862F9" w:rsidRDefault="002862F9" w:rsidP="00107DB4">
      <w:pPr>
        <w:pStyle w:val="ListParagraph"/>
        <w:numPr>
          <w:ilvl w:val="1"/>
          <w:numId w:val="12"/>
        </w:numPr>
      </w:pPr>
      <w:r>
        <w:t xml:space="preserve">What are the corresponding direct/feedback surface temperature impacts from changes in albedo?  </w:t>
      </w:r>
      <w:r w:rsidR="00E16725">
        <w:t xml:space="preserve">Do we know how these might vary between different SRM technologies and different </w:t>
      </w:r>
      <w:r w:rsidR="00D819B0">
        <w:t>deployment strategies for individual technologies?</w:t>
      </w:r>
    </w:p>
    <w:p w14:paraId="0A1D9676" w14:textId="7F229973" w:rsidR="008F208E" w:rsidRPr="00107DB4" w:rsidRDefault="007B5DFC" w:rsidP="00107DB4">
      <w:pPr>
        <w:pStyle w:val="ListParagraph"/>
      </w:pPr>
      <w:r w:rsidRPr="00107DB4">
        <w:t>In an earlier exchange of emails, my suggestion that a 1</w:t>
      </w:r>
      <w:r w:rsidR="00725937" w:rsidRPr="00107DB4">
        <w:t xml:space="preserve"> </w:t>
      </w:r>
      <w:r w:rsidRPr="00107DB4">
        <w:t xml:space="preserve">W/m2 reduction in forcing from increased albedo would cool the surface faster than the same reduction from reduced atmospheric GHGs, was comprehensively rejected.  The counterclaim was that a given change in forcing would be climatically the same irrespective of its source.  Is this counterclaim </w:t>
      </w:r>
      <w:r w:rsidR="00BA65A7" w:rsidRPr="00107DB4">
        <w:t xml:space="preserve">valid for </w:t>
      </w:r>
      <w:r w:rsidR="0087130B" w:rsidRPr="00107DB4">
        <w:t xml:space="preserve">both </w:t>
      </w:r>
      <w:r w:rsidR="00BA65A7" w:rsidRPr="00107DB4">
        <w:t>the direct</w:t>
      </w:r>
      <w:r w:rsidR="00017F2A" w:rsidRPr="00107DB4">
        <w:t xml:space="preserve"> GHG effect </w:t>
      </w:r>
      <w:r w:rsidR="0087130B" w:rsidRPr="00107DB4">
        <w:t>and feedback</w:t>
      </w:r>
      <w:r w:rsidR="00D807E3" w:rsidRPr="00107DB4">
        <w:t xml:space="preserve"> effects </w:t>
      </w:r>
      <w:r w:rsidR="00017F2A" w:rsidRPr="00107DB4">
        <w:t>on surface temperature</w:t>
      </w:r>
      <w:r w:rsidRPr="00107DB4">
        <w:t>?</w:t>
      </w:r>
    </w:p>
    <w:p w14:paraId="6B22ECEA" w14:textId="36BD0E4D" w:rsidR="001331B3" w:rsidRDefault="00573A03" w:rsidP="00107DB4">
      <w:pPr>
        <w:pStyle w:val="ListParagraph"/>
      </w:pPr>
      <w:r>
        <w:t xml:space="preserve">Hansen’s </w:t>
      </w:r>
      <w:r>
        <w:rPr>
          <w:i/>
          <w:iCs/>
        </w:rPr>
        <w:t>Pipeline</w:t>
      </w:r>
      <w:r>
        <w:t xml:space="preserve"> paper has </w:t>
      </w:r>
      <w:r w:rsidR="004D6467">
        <w:t xml:space="preserve">a detailed examination of climate response time – the e-folding time </w:t>
      </w:r>
      <w:r w:rsidR="00C26443">
        <w:t xml:space="preserve">over which changes in GHG forcing </w:t>
      </w:r>
      <w:r w:rsidR="00114B76">
        <w:t>emerge as changes in surface temperature</w:t>
      </w:r>
      <w:r w:rsidR="00BA5852">
        <w:t xml:space="preserve">.  He claims </w:t>
      </w:r>
      <w:r w:rsidR="000F57C6">
        <w:t xml:space="preserve">that for changes </w:t>
      </w:r>
      <w:r w:rsidR="00711EE2">
        <w:t>to CO</w:t>
      </w:r>
      <w:r w:rsidR="00711EE2">
        <w:rPr>
          <w:vertAlign w:val="subscript"/>
        </w:rPr>
        <w:t>2</w:t>
      </w:r>
      <w:r w:rsidR="00711EE2">
        <w:t xml:space="preserve"> </w:t>
      </w:r>
      <w:r w:rsidR="00BA5852">
        <w:t xml:space="preserve">this </w:t>
      </w:r>
      <w:r w:rsidR="00711EE2">
        <w:t xml:space="preserve">is of the order of 100 years in contrast to the </w:t>
      </w:r>
      <w:r w:rsidR="006B4FD5">
        <w:t>IPCC’s established position of 10 to 20 years.</w:t>
      </w:r>
    </w:p>
    <w:p w14:paraId="71618073" w14:textId="4AB1D555" w:rsidR="006015CF" w:rsidRDefault="007D58EE" w:rsidP="00107DB4">
      <w:pPr>
        <w:pStyle w:val="ListParagraph"/>
        <w:numPr>
          <w:ilvl w:val="1"/>
          <w:numId w:val="12"/>
        </w:numPr>
      </w:pPr>
      <w:r>
        <w:t>Is the climate response time the same for all GHGs?</w:t>
      </w:r>
    </w:p>
    <w:p w14:paraId="51450947" w14:textId="55AD389B" w:rsidR="006B4FD5" w:rsidRDefault="006B4FD5" w:rsidP="00107DB4">
      <w:pPr>
        <w:pStyle w:val="ListParagraph"/>
        <w:numPr>
          <w:ilvl w:val="1"/>
          <w:numId w:val="12"/>
        </w:numPr>
      </w:pPr>
      <w:r>
        <w:t xml:space="preserve">Does </w:t>
      </w:r>
      <w:r w:rsidR="00EC0529">
        <w:t xml:space="preserve">this </w:t>
      </w:r>
      <w:r w:rsidR="008E69B8">
        <w:t xml:space="preserve">notion of climate response time also encompass </w:t>
      </w:r>
      <w:r w:rsidR="00E06C55">
        <w:t xml:space="preserve">albedo-driven </w:t>
      </w:r>
      <w:r w:rsidR="00981FDE">
        <w:t>changes in forcing?</w:t>
      </w:r>
    </w:p>
    <w:p w14:paraId="7D50E189" w14:textId="5D4B7BBD" w:rsidR="00E06C55" w:rsidRDefault="00E06C55" w:rsidP="00107DB4">
      <w:pPr>
        <w:pStyle w:val="ListParagraph"/>
        <w:numPr>
          <w:ilvl w:val="1"/>
          <w:numId w:val="12"/>
        </w:numPr>
      </w:pPr>
      <w:r>
        <w:t xml:space="preserve">If not, </w:t>
      </w:r>
      <w:r w:rsidR="009438CC">
        <w:t xml:space="preserve">what do we know about the time lag between changes in albedo and </w:t>
      </w:r>
      <w:r w:rsidR="00952D0F">
        <w:t xml:space="preserve">the corresponding </w:t>
      </w:r>
      <w:r w:rsidR="009438CC">
        <w:t>changes</w:t>
      </w:r>
      <w:r w:rsidR="00952D0F">
        <w:t xml:space="preserve"> in surface temperature?</w:t>
      </w:r>
      <w:r w:rsidR="000D3635">
        <w:t xml:space="preserve">  Note that </w:t>
      </w:r>
      <w:r w:rsidR="002D4C91">
        <w:t>Pinatubo is estimated to have caused a 0.5</w:t>
      </w:r>
      <w:r w:rsidR="002D4C91">
        <w:rPr>
          <w:vertAlign w:val="superscript"/>
        </w:rPr>
        <w:t>o</w:t>
      </w:r>
      <w:r w:rsidR="002D4C91">
        <w:t>C reduction in global mean surface temperature in the following year.</w:t>
      </w:r>
    </w:p>
    <w:p w14:paraId="3E6C004E" w14:textId="0EB31F18" w:rsidR="00AB3271" w:rsidRDefault="00AB3271" w:rsidP="00107DB4">
      <w:pPr>
        <w:pStyle w:val="ListParagraph"/>
        <w:numPr>
          <w:ilvl w:val="1"/>
          <w:numId w:val="12"/>
        </w:numPr>
      </w:pPr>
      <w:r>
        <w:t xml:space="preserve">How is climate response time (for both </w:t>
      </w:r>
      <w:r w:rsidR="00472FFF">
        <w:t>light and heat radiation)</w:t>
      </w:r>
      <w:r w:rsidR="00E56D44">
        <w:t xml:space="preserve"> </w:t>
      </w:r>
      <w:r w:rsidR="00094DE5">
        <w:t>affected by feedbacks?</w:t>
      </w:r>
    </w:p>
    <w:p w14:paraId="45133FBB" w14:textId="466E870A" w:rsidR="00094DE5" w:rsidRDefault="00094DE5" w:rsidP="00107DB4">
      <w:pPr>
        <w:pStyle w:val="ListParagraph"/>
        <w:numPr>
          <w:ilvl w:val="1"/>
          <w:numId w:val="12"/>
        </w:numPr>
      </w:pPr>
      <w:r>
        <w:t xml:space="preserve">How </w:t>
      </w:r>
      <w:r w:rsidR="00015825">
        <w:t xml:space="preserve">does the concept of climate response time affect the claim (2 </w:t>
      </w:r>
      <w:r w:rsidR="00C4534F" w:rsidRPr="00C4534F">
        <w:rPr>
          <w:i/>
          <w:iCs/>
        </w:rPr>
        <w:t>supra</w:t>
      </w:r>
      <w:r w:rsidR="00015825">
        <w:t xml:space="preserve">) that </w:t>
      </w:r>
      <w:r w:rsidR="00C4534F">
        <w:t>changes to surface</w:t>
      </w:r>
      <w:r w:rsidR="00822302">
        <w:t xml:space="preserve"> temperature are the same irrespective of the source of the forcing change that generates them?</w:t>
      </w:r>
      <w:r w:rsidR="004B011D">
        <w:t xml:space="preserve">  </w:t>
      </w:r>
      <w:r w:rsidR="00C72D62">
        <w:t>For</w:t>
      </w:r>
      <w:r w:rsidR="004B011D">
        <w:t xml:space="preserve"> the counterclaim to be valid</w:t>
      </w:r>
      <w:r w:rsidR="00202617">
        <w:t>,</w:t>
      </w:r>
      <w:r w:rsidR="00000B4B">
        <w:t xml:space="preserve"> the climate response </w:t>
      </w:r>
      <w:r w:rsidR="00202617">
        <w:t xml:space="preserve">time </w:t>
      </w:r>
      <w:r w:rsidR="00000B4B">
        <w:t xml:space="preserve">for changes to both light and heat radiation </w:t>
      </w:r>
      <w:r w:rsidR="003D0AFA">
        <w:t>must include all feedback effects and for it to be the same for both light and heat radiation</w:t>
      </w:r>
      <w:r w:rsidR="00202617">
        <w:t>.</w:t>
      </w:r>
      <w:r w:rsidR="00427426">
        <w:t xml:space="preserve">  What is the evidence for this?</w:t>
      </w:r>
    </w:p>
    <w:p w14:paraId="6CF03FE0" w14:textId="38B58351" w:rsidR="00613788" w:rsidRDefault="00613788" w:rsidP="00107DB4">
      <w:pPr>
        <w:pStyle w:val="ListParagraph"/>
      </w:pPr>
      <w:r>
        <w:t xml:space="preserve">AR6 WGI 4.6.3.3 </w:t>
      </w:r>
      <w:r w:rsidR="00B4547F">
        <w:t>(</w:t>
      </w:r>
      <w:r w:rsidR="00EB08A6">
        <w:t xml:space="preserve">in which </w:t>
      </w:r>
      <w:r w:rsidR="00B4547F">
        <w:t xml:space="preserve">you are cited several times) </w:t>
      </w:r>
      <w:r>
        <w:t>claims that an increase in albedo from 0.31 to 0.32 (corresponding to a 2% reduction in irradiance) would be sufficient to offset warming from 2xCO</w:t>
      </w:r>
      <w:r>
        <w:rPr>
          <w:vertAlign w:val="subscript"/>
        </w:rPr>
        <w:t>2</w:t>
      </w:r>
      <w:r w:rsidRPr="00FA4B51">
        <w:t>.  It also cites Matthews and Caldeira 2007 that includes the following result:</w:t>
      </w:r>
    </w:p>
    <w:p w14:paraId="57CF53D5" w14:textId="4297DBF7" w:rsidR="00613788" w:rsidRDefault="00613788" w:rsidP="00613788">
      <w:pPr>
        <w:ind w:left="720"/>
      </w:pPr>
      <w:r w:rsidRPr="00FA4B51">
        <w:t>For all geoengineering runs, global temperature</w:t>
      </w:r>
      <w:r>
        <w:t xml:space="preserve"> </w:t>
      </w:r>
      <w:r w:rsidRPr="00FA4B51">
        <w:t>responded quickly to changes in incoming solar radiation; temperature</w:t>
      </w:r>
      <w:r>
        <w:t xml:space="preserve"> </w:t>
      </w:r>
      <w:r w:rsidRPr="00FA4B51">
        <w:t xml:space="preserve">decreased toward preindustrial temperatures in </w:t>
      </w:r>
      <w:r w:rsidRPr="00FA4B51">
        <w:lastRenderedPageBreak/>
        <w:t>all</w:t>
      </w:r>
      <w:r>
        <w:t xml:space="preserve"> </w:t>
      </w:r>
      <w:r w:rsidRPr="00FA4B51">
        <w:t xml:space="preserve">cases with an </w:t>
      </w:r>
      <w:r w:rsidRPr="00FA4B51">
        <w:rPr>
          <w:i/>
          <w:iCs/>
        </w:rPr>
        <w:t>e</w:t>
      </w:r>
      <w:r w:rsidRPr="00FA4B51">
        <w:t>-folding time scale of</w:t>
      </w:r>
      <w:r>
        <w:t xml:space="preserve"> </w:t>
      </w:r>
      <w:r w:rsidRPr="00FA4B51">
        <w:t xml:space="preserve"> </w:t>
      </w:r>
      <w:r>
        <w:sym w:font="Symbol" w:char="F0BB"/>
      </w:r>
      <w:r w:rsidRPr="00FA4B51">
        <w:t>5 years.</w:t>
      </w:r>
      <w:r w:rsidR="00B53DD1">
        <w:t xml:space="preserve">  This is consistent with evidence from Pinatubo.</w:t>
      </w:r>
    </w:p>
    <w:p w14:paraId="265DE019" w14:textId="5690DE9F" w:rsidR="00566AA1" w:rsidRDefault="00566AA1" w:rsidP="00566AA1">
      <w:pPr>
        <w:ind w:left="357"/>
      </w:pPr>
      <w:r>
        <w:t>This is a substantially shorter e-folding time than the 100 years</w:t>
      </w:r>
      <w:r w:rsidR="00E631E9">
        <w:t xml:space="preserve"> claimed by Hansen for changes in atmospheric CO</w:t>
      </w:r>
      <w:r w:rsidR="00E631E9">
        <w:rPr>
          <w:vertAlign w:val="subscript"/>
        </w:rPr>
        <w:t>2</w:t>
      </w:r>
      <w:r w:rsidR="00E631E9">
        <w:t>.</w:t>
      </w:r>
      <w:r w:rsidR="001D4265">
        <w:t xml:space="preserve">  If these two </w:t>
      </w:r>
      <w:r w:rsidR="00E528AB">
        <w:t>values are robust, it suggests that SRM would reduce surface te</w:t>
      </w:r>
      <w:r w:rsidR="00755DE5">
        <w:t>mperature much faster than reducing atmospheric GHGs.</w:t>
      </w:r>
      <w:r w:rsidR="00116BD3">
        <w:t xml:space="preserve">  However, it is unclear (to me) whether this difference is </w:t>
      </w:r>
      <w:r w:rsidR="00E06B8E">
        <w:t>due to differences in the climate physics and chemistry of the two approaches, or differences in their scale</w:t>
      </w:r>
      <w:r w:rsidR="0082775A">
        <w:t xml:space="preserve"> and timing</w:t>
      </w:r>
      <w:r w:rsidR="00E06B8E">
        <w:t xml:space="preserve"> </w:t>
      </w:r>
      <w:r w:rsidR="0087561A">
        <w:t>of deployment.</w:t>
      </w:r>
      <w:r w:rsidR="00A163FB">
        <w:t xml:space="preserve">   </w:t>
      </w:r>
    </w:p>
    <w:p w14:paraId="3791970D" w14:textId="27A54462" w:rsidR="005C69CC" w:rsidRDefault="00F47EFA" w:rsidP="00566AA1">
      <w:pPr>
        <w:ind w:left="357"/>
      </w:pPr>
      <w:r>
        <w:t xml:space="preserve">After a lengthy discussion of the potential problems from SAI, </w:t>
      </w:r>
      <w:r w:rsidR="00A163FB">
        <w:t>AR6</w:t>
      </w:r>
      <w:r w:rsidR="00A163FB">
        <w:t xml:space="preserve"> WGI</w:t>
      </w:r>
      <w:r w:rsidR="00A163FB">
        <w:t xml:space="preserve"> 4.6.3.3.1 adds that:</w:t>
      </w:r>
    </w:p>
    <w:p w14:paraId="47559489" w14:textId="56990284" w:rsidR="00A163FB" w:rsidRDefault="00FD7915" w:rsidP="00006A81">
      <w:pPr>
        <w:ind w:left="720"/>
      </w:pPr>
      <w:r w:rsidRPr="00FD7915">
        <w:t>By appropriately adjusting the amount, latitude, altitude, and</w:t>
      </w:r>
      <w:r>
        <w:t xml:space="preserve"> </w:t>
      </w:r>
      <w:r w:rsidRPr="00FD7915">
        <w:t>timing of the aerosol injection, modelling studies suggest that SAI is</w:t>
      </w:r>
      <w:r>
        <w:t xml:space="preserve"> </w:t>
      </w:r>
      <w:r w:rsidRPr="00FD7915">
        <w:t>conceptually able to achieve some desired combination of radiative</w:t>
      </w:r>
      <w:r>
        <w:t xml:space="preserve"> </w:t>
      </w:r>
      <w:r w:rsidRPr="00FD7915">
        <w:t>forcing and climate response (medium confidence)</w:t>
      </w:r>
      <w:r w:rsidR="00006A81">
        <w:t xml:space="preserve"> </w:t>
      </w:r>
      <w:r w:rsidR="00006A81" w:rsidRPr="00006A81">
        <w:t>(MacMartin et al.,</w:t>
      </w:r>
      <w:r w:rsidR="00006A81">
        <w:t xml:space="preserve"> </w:t>
      </w:r>
      <w:r w:rsidR="00006A81" w:rsidRPr="00006A81">
        <w:t xml:space="preserve">2017; Dai et al., 2018; Lee et al., 2020; </w:t>
      </w:r>
      <w:proofErr w:type="spellStart"/>
      <w:r w:rsidR="00006A81" w:rsidRPr="00006A81">
        <w:t>Visioni</w:t>
      </w:r>
      <w:proofErr w:type="spellEnd"/>
      <w:r w:rsidR="00006A81" w:rsidRPr="00006A81">
        <w:t xml:space="preserve"> et al., 2020b).</w:t>
      </w:r>
    </w:p>
    <w:p w14:paraId="4C479CF0" w14:textId="375B7228" w:rsidR="009D2150" w:rsidRPr="00E631E9" w:rsidRDefault="009D2150" w:rsidP="009D2150">
      <w:pPr>
        <w:ind w:left="360"/>
      </w:pPr>
      <w:r>
        <w:t xml:space="preserve">Taken together with the </w:t>
      </w:r>
      <w:r w:rsidR="00FF011F">
        <w:t xml:space="preserve">evidence that SRM reduces surface temperature faster than GGR, </w:t>
      </w:r>
      <w:r w:rsidR="003B3D44">
        <w:t xml:space="preserve">does this imply that if time </w:t>
      </w:r>
      <w:proofErr w:type="spellStart"/>
      <w:r w:rsidR="003B3D44">
        <w:t>isof</w:t>
      </w:r>
      <w:proofErr w:type="spellEnd"/>
      <w:r w:rsidR="003B3D44">
        <w:t xml:space="preserve"> the essence in </w:t>
      </w:r>
      <w:r w:rsidR="00274DBE">
        <w:t xml:space="preserve">responding to global warming, SRM is a necessary additional tool precisely because it </w:t>
      </w:r>
      <w:r w:rsidR="00B93EAD">
        <w:t>can reduce surface temperature so much more quickly than GGR?</w:t>
      </w:r>
    </w:p>
    <w:p w14:paraId="6AE27680" w14:textId="1260BEF8" w:rsidR="007B5DFC" w:rsidRDefault="00842C15" w:rsidP="00107DB4">
      <w:pPr>
        <w:pStyle w:val="ListParagraph"/>
      </w:pPr>
      <w:r>
        <w:t xml:space="preserve">Does Table 1 in </w:t>
      </w:r>
      <w:r>
        <w:rPr>
          <w:i/>
          <w:iCs/>
        </w:rPr>
        <w:t>Pipeline</w:t>
      </w:r>
      <w:r>
        <w:t xml:space="preserve"> </w:t>
      </w:r>
      <w:r w:rsidR="008C32CD">
        <w:t xml:space="preserve">accurately represent the relationship between </w:t>
      </w:r>
      <w:r w:rsidR="008F454D">
        <w:t xml:space="preserve">changes in </w:t>
      </w:r>
      <w:r w:rsidR="008C32CD">
        <w:t xml:space="preserve">GHG mass and </w:t>
      </w:r>
      <w:r w:rsidR="008F454D">
        <w:t>the forcing?</w:t>
      </w:r>
    </w:p>
    <w:p w14:paraId="01CFEC9E" w14:textId="4126EFE9" w:rsidR="009B078C" w:rsidRDefault="00E71748" w:rsidP="00107DB4">
      <w:pPr>
        <w:pStyle w:val="ListParagraph"/>
        <w:numPr>
          <w:ilvl w:val="1"/>
          <w:numId w:val="12"/>
        </w:numPr>
      </w:pPr>
      <w:r>
        <w:t xml:space="preserve">Does Table 1 refer to the direct radiative forcing to which </w:t>
      </w:r>
      <w:r w:rsidR="0036744B">
        <w:t>must be added the feedback effects to generate the total warming</w:t>
      </w:r>
      <w:r w:rsidR="00C33271">
        <w:t xml:space="preserve"> (see d below)?</w:t>
      </w:r>
    </w:p>
    <w:p w14:paraId="085FCA0B" w14:textId="008B780B" w:rsidR="00531703" w:rsidRDefault="0036744B" w:rsidP="00107DB4">
      <w:pPr>
        <w:pStyle w:val="ListParagraph"/>
        <w:numPr>
          <w:ilvl w:val="1"/>
          <w:numId w:val="12"/>
        </w:numPr>
      </w:pPr>
      <w:r>
        <w:t xml:space="preserve">Do these formulae </w:t>
      </w:r>
      <w:r w:rsidR="00531703">
        <w:t>operate equally for both increases and decreases in GHG ppm?</w:t>
      </w:r>
    </w:p>
    <w:p w14:paraId="4CC14476" w14:textId="008CDD04" w:rsidR="005C7DB1" w:rsidRDefault="007C27B8" w:rsidP="00107DB4">
      <w:pPr>
        <w:pStyle w:val="ListParagraph"/>
        <w:numPr>
          <w:ilvl w:val="1"/>
          <w:numId w:val="12"/>
        </w:numPr>
      </w:pPr>
      <w:r>
        <w:t>Using the formula for CO</w:t>
      </w:r>
      <w:r>
        <w:rPr>
          <w:vertAlign w:val="subscript"/>
        </w:rPr>
        <w:t>2</w:t>
      </w:r>
      <w:r>
        <w:t>, a reduction of 1 W/m</w:t>
      </w:r>
      <w:r>
        <w:rPr>
          <w:vertAlign w:val="superscript"/>
        </w:rPr>
        <w:t>2</w:t>
      </w:r>
      <w:r>
        <w:t xml:space="preserve"> from a starting position of 425 ppm</w:t>
      </w:r>
      <w:r w:rsidR="00F76A28">
        <w:t xml:space="preserve"> would require the net removal of 14</w:t>
      </w:r>
      <w:r w:rsidR="00A04C14">
        <w:t xml:space="preserve">0GtC or </w:t>
      </w:r>
      <w:r w:rsidR="00133CF7">
        <w:t>520 GtCO</w:t>
      </w:r>
      <w:r w:rsidR="00133CF7">
        <w:rPr>
          <w:vertAlign w:val="subscript"/>
        </w:rPr>
        <w:t>2</w:t>
      </w:r>
      <w:r w:rsidR="00F25133">
        <w:rPr>
          <w:vertAlign w:val="superscript"/>
        </w:rPr>
        <w:t xml:space="preserve">. </w:t>
      </w:r>
      <w:r w:rsidR="00F25133">
        <w:t xml:space="preserve"> </w:t>
      </w:r>
      <w:r w:rsidR="004A54DB">
        <w:t>This implies gross CO</w:t>
      </w:r>
      <w:r w:rsidR="00D23CC5">
        <w:rPr>
          <w:vertAlign w:val="subscript"/>
        </w:rPr>
        <w:t xml:space="preserve">2 </w:t>
      </w:r>
      <w:r w:rsidR="00D23CC5">
        <w:t>removal of ~900 GtCO</w:t>
      </w:r>
      <w:r w:rsidR="00D23CC5">
        <w:rPr>
          <w:vertAlign w:val="subscript"/>
        </w:rPr>
        <w:t>2</w:t>
      </w:r>
      <w:r w:rsidR="00253808" w:rsidRPr="00253808">
        <w:t xml:space="preserve"> after accounting for ocean </w:t>
      </w:r>
      <w:r w:rsidR="00C40270">
        <w:t xml:space="preserve">and terrestrial </w:t>
      </w:r>
      <w:r w:rsidR="00253808" w:rsidRPr="00253808">
        <w:t>outgassing</w:t>
      </w:r>
      <w:r w:rsidR="00967320">
        <w:t>.</w:t>
      </w:r>
      <w:r w:rsidR="00C27A47">
        <w:t xml:space="preserve">  </w:t>
      </w:r>
    </w:p>
    <w:p w14:paraId="408ED12F" w14:textId="4831CD2B" w:rsidR="00511A2E" w:rsidRDefault="00C27A47" w:rsidP="00107DB4">
      <w:pPr>
        <w:pStyle w:val="ListParagraph"/>
        <w:numPr>
          <w:ilvl w:val="1"/>
          <w:numId w:val="12"/>
        </w:numPr>
      </w:pPr>
      <w:r>
        <w:t xml:space="preserve">Using the NOAA formula </w:t>
      </w:r>
      <w:hyperlink r:id="rId9" w:history="1">
        <w:r w:rsidRPr="00AC264D">
          <w:rPr>
            <w:rStyle w:val="Hyperlink"/>
          </w:rPr>
          <w:t>her</w:t>
        </w:r>
        <w:r w:rsidRPr="00AC264D">
          <w:rPr>
            <w:rStyle w:val="Hyperlink"/>
          </w:rPr>
          <w:t>e</w:t>
        </w:r>
      </w:hyperlink>
      <w:r w:rsidR="00B80610">
        <w:t xml:space="preserve">, would increase the required </w:t>
      </w:r>
      <w:r w:rsidR="005E6FC5">
        <w:t xml:space="preserve">net </w:t>
      </w:r>
      <w:r w:rsidR="00B80610">
        <w:t xml:space="preserve">removal </w:t>
      </w:r>
      <w:r w:rsidR="0002060D">
        <w:t xml:space="preserve">to 160 </w:t>
      </w:r>
      <w:proofErr w:type="spellStart"/>
      <w:r w:rsidR="0002060D">
        <w:t>GtC</w:t>
      </w:r>
      <w:proofErr w:type="spellEnd"/>
      <w:r w:rsidR="00611EA0">
        <w:t xml:space="preserve"> or 1,250 GtCO</w:t>
      </w:r>
      <w:r w:rsidR="00611EA0">
        <w:rPr>
          <w:vertAlign w:val="subscript"/>
        </w:rPr>
        <w:t>2</w:t>
      </w:r>
      <w:r w:rsidR="00611EA0">
        <w:t xml:space="preserve"> </w:t>
      </w:r>
      <w:r w:rsidR="00253808">
        <w:t>gross</w:t>
      </w:r>
      <w:r w:rsidR="005E6FC5">
        <w:t>.</w:t>
      </w:r>
      <w:r w:rsidR="00A731E3">
        <w:t xml:space="preserve">  NOAA declare that </w:t>
      </w:r>
      <w:r w:rsidR="009572F4">
        <w:t xml:space="preserve">their formula </w:t>
      </w:r>
      <w:r w:rsidR="00253808">
        <w:t>includes</w:t>
      </w:r>
      <w:r w:rsidR="009572F4">
        <w:t xml:space="preserve"> the direct forcing only and exclude</w:t>
      </w:r>
      <w:r w:rsidR="00C80EC1">
        <w:t>s</w:t>
      </w:r>
      <w:r w:rsidR="009572F4">
        <w:t xml:space="preserve"> feedback effects.</w:t>
      </w:r>
      <w:r w:rsidR="00751041">
        <w:t xml:space="preserve">  They also exclude ‘</w:t>
      </w:r>
      <w:r w:rsidR="00751041" w:rsidRPr="00751041">
        <w:t>spatially heterogeneous, short-lived, climate forcing agents, such as aerosols, clouds and tropospheric ozone</w:t>
      </w:r>
      <w:r w:rsidR="00751041">
        <w:t>’.</w:t>
      </w:r>
      <w:r w:rsidR="005C7DB1">
        <w:t xml:space="preserve">  </w:t>
      </w:r>
      <w:r w:rsidR="00857B66">
        <w:t xml:space="preserve">If Hansen is correct that feedbacks account for 70% of the surface temperature change, does this imply that </w:t>
      </w:r>
      <w:r w:rsidR="009D2468">
        <w:t>1 W/m</w:t>
      </w:r>
      <w:r w:rsidR="009D2468">
        <w:rPr>
          <w:vertAlign w:val="superscript"/>
        </w:rPr>
        <w:t>2</w:t>
      </w:r>
      <w:r w:rsidR="009D2468">
        <w:t xml:space="preserve"> of negative forcing could be achieved by reducing atmospheric CO</w:t>
      </w:r>
      <w:r w:rsidR="009D2468">
        <w:rPr>
          <w:vertAlign w:val="subscript"/>
        </w:rPr>
        <w:t>2</w:t>
      </w:r>
      <w:r w:rsidR="009D2468">
        <w:t xml:space="preserve"> </w:t>
      </w:r>
      <w:r w:rsidR="00F12AC9">
        <w:t>by</w:t>
      </w:r>
      <w:r w:rsidR="00AF6A73">
        <w:t xml:space="preserve"> only 30% of the above figures</w:t>
      </w:r>
      <w:r w:rsidR="00F12AC9">
        <w:t>, i.e. ~5</w:t>
      </w:r>
      <w:r w:rsidR="00665ADF">
        <w:t xml:space="preserve">0 </w:t>
      </w:r>
      <w:proofErr w:type="spellStart"/>
      <w:r w:rsidR="00665ADF">
        <w:t>GtC</w:t>
      </w:r>
      <w:proofErr w:type="spellEnd"/>
      <w:r w:rsidR="00665ADF">
        <w:t xml:space="preserve"> net or</w:t>
      </w:r>
      <w:r w:rsidR="004169DC">
        <w:t>~350</w:t>
      </w:r>
      <w:r w:rsidR="006D41F6">
        <w:t xml:space="preserve"> GtCO</w:t>
      </w:r>
      <w:r w:rsidR="006D41F6">
        <w:rPr>
          <w:vertAlign w:val="subscript"/>
        </w:rPr>
        <w:t>2</w:t>
      </w:r>
      <w:r w:rsidR="006D41F6">
        <w:t xml:space="preserve"> gross</w:t>
      </w:r>
      <w:r w:rsidR="001B59AF">
        <w:t xml:space="preserve"> and letting feedbacks deliver the other 70%</w:t>
      </w:r>
      <w:r w:rsidR="00AF6A73">
        <w:t>?</w:t>
      </w:r>
    </w:p>
    <w:p w14:paraId="35179C28" w14:textId="186791B6" w:rsidR="00F55E97" w:rsidRDefault="00F55E97" w:rsidP="00107DB4">
      <w:pPr>
        <w:pStyle w:val="ListParagraph"/>
        <w:numPr>
          <w:ilvl w:val="1"/>
          <w:numId w:val="12"/>
        </w:numPr>
      </w:pPr>
      <w:r>
        <w:t xml:space="preserve">The corresponding figures </w:t>
      </w:r>
      <w:r w:rsidR="00700234">
        <w:t xml:space="preserve">using the Hansen formula </w:t>
      </w:r>
      <w:r>
        <w:t xml:space="preserve">for </w:t>
      </w:r>
      <w:r w:rsidR="00977833">
        <w:t>a 1 W/m</w:t>
      </w:r>
      <w:r w:rsidR="00977833">
        <w:rPr>
          <w:vertAlign w:val="superscript"/>
        </w:rPr>
        <w:t>2</w:t>
      </w:r>
      <w:r w:rsidR="00977833">
        <w:t xml:space="preserve"> negative forcing from reducing atmospheric methane imply a net r</w:t>
      </w:r>
      <w:r w:rsidR="006053FA">
        <w:t xml:space="preserve">emoval of almost two thirds of </w:t>
      </w:r>
      <w:r w:rsidR="00916544">
        <w:t xml:space="preserve">current </w:t>
      </w:r>
      <w:r w:rsidR="006053FA">
        <w:t>total atmospheric methane</w:t>
      </w:r>
      <w:r w:rsidR="00916544">
        <w:t xml:space="preserve"> (1930 ppb)</w:t>
      </w:r>
      <w:r w:rsidR="006053FA">
        <w:t>.</w:t>
      </w:r>
    </w:p>
    <w:p w14:paraId="31B969DD" w14:textId="129F1C92" w:rsidR="00196925" w:rsidRDefault="00196925" w:rsidP="00107DB4">
      <w:pPr>
        <w:pStyle w:val="ListParagraph"/>
        <w:numPr>
          <w:ilvl w:val="1"/>
          <w:numId w:val="12"/>
        </w:numPr>
      </w:pPr>
      <w:r>
        <w:t>Note that Hansen asses</w:t>
      </w:r>
      <w:r w:rsidR="00FF2AED">
        <w:t>ses ECS to be 1.2</w:t>
      </w:r>
      <w:r w:rsidR="00FF2AED">
        <w:rPr>
          <w:vertAlign w:val="superscript"/>
        </w:rPr>
        <w:t>o</w:t>
      </w:r>
      <w:r w:rsidR="00FF2AED">
        <w:t>C ±0.3</w:t>
      </w:r>
      <w:r w:rsidR="00FF2AED">
        <w:rPr>
          <w:vertAlign w:val="superscript"/>
        </w:rPr>
        <w:t>o</w:t>
      </w:r>
      <w:r w:rsidR="00FF2AED">
        <w:t>C per W/m</w:t>
      </w:r>
      <w:r w:rsidR="00FF2AED">
        <w:rPr>
          <w:vertAlign w:val="superscript"/>
        </w:rPr>
        <w:t>2</w:t>
      </w:r>
      <w:r w:rsidR="00FF2AED">
        <w:t>.</w:t>
      </w:r>
      <w:r w:rsidR="00901660">
        <w:t xml:space="preserve">  This suggests that </w:t>
      </w:r>
      <w:r w:rsidR="00A973DE">
        <w:t>a negative forcing of 1 W/m</w:t>
      </w:r>
      <w:r w:rsidR="00A973DE">
        <w:rPr>
          <w:vertAlign w:val="superscript"/>
        </w:rPr>
        <w:t>2</w:t>
      </w:r>
      <w:r w:rsidR="00A973DE">
        <w:t xml:space="preserve"> would deliver an equilibrium temperature change of ~</w:t>
      </w:r>
      <w:r w:rsidR="00D75B00">
        <w:t>1.2</w:t>
      </w:r>
      <w:r w:rsidR="00D75B00">
        <w:rPr>
          <w:vertAlign w:val="superscript"/>
        </w:rPr>
        <w:t>o</w:t>
      </w:r>
      <w:r w:rsidR="00D75B00">
        <w:t>C</w:t>
      </w:r>
      <w:r w:rsidR="00D61A63">
        <w:t>.  However, since they also assess the EEI to be 4 W/m</w:t>
      </w:r>
      <w:r w:rsidR="00D61A63">
        <w:rPr>
          <w:vertAlign w:val="superscript"/>
        </w:rPr>
        <w:t>2</w:t>
      </w:r>
      <w:r w:rsidR="00570DEC">
        <w:t xml:space="preserve"> this implies a requirement for substantially more </w:t>
      </w:r>
      <w:r w:rsidR="00FE4F64">
        <w:t>negative emissions than currently contemplated</w:t>
      </w:r>
      <w:r w:rsidR="00032D3A">
        <w:t xml:space="preserve"> and supports the contention (</w:t>
      </w:r>
      <w:r w:rsidR="001C0012">
        <w:t xml:space="preserve">qv. 6d </w:t>
      </w:r>
      <w:r w:rsidR="00032D3A">
        <w:t>below</w:t>
      </w:r>
      <w:r w:rsidR="001C0012">
        <w:t>)</w:t>
      </w:r>
      <w:r w:rsidR="00032D3A">
        <w:t xml:space="preserve"> </w:t>
      </w:r>
      <w:r w:rsidR="00F273B7">
        <w:t xml:space="preserve">that </w:t>
      </w:r>
      <w:r w:rsidR="0042165E">
        <w:t>GGR on that scale is implausible.</w:t>
      </w:r>
    </w:p>
    <w:p w14:paraId="6CAEA393" w14:textId="77777777" w:rsidR="00947698" w:rsidRDefault="0078285E" w:rsidP="00107DB4">
      <w:pPr>
        <w:pStyle w:val="ListParagraph"/>
      </w:pPr>
      <w:r>
        <w:lastRenderedPageBreak/>
        <w:t xml:space="preserve">The </w:t>
      </w:r>
      <w:r w:rsidR="00FD3D9E">
        <w:t xml:space="preserve">logistical </w:t>
      </w:r>
      <w:r w:rsidR="00DB66C2">
        <w:t xml:space="preserve">scale </w:t>
      </w:r>
      <w:r w:rsidR="00947698">
        <w:t>implied by the</w:t>
      </w:r>
      <w:r w:rsidR="00DB66C2">
        <w:t xml:space="preserve"> removal of both CO</w:t>
      </w:r>
      <w:r w:rsidR="00DB66C2" w:rsidRPr="00757CA1">
        <w:rPr>
          <w:vertAlign w:val="subscript"/>
        </w:rPr>
        <w:t>2</w:t>
      </w:r>
      <w:r w:rsidR="00DB66C2">
        <w:t xml:space="preserve"> and methane to deliver </w:t>
      </w:r>
      <w:r w:rsidR="00ED7224">
        <w:t>negative forcing of just</w:t>
      </w:r>
      <w:r w:rsidR="00DB66C2">
        <w:t xml:space="preserve"> 1 W/m</w:t>
      </w:r>
      <w:r w:rsidR="00DB66C2" w:rsidRPr="00757CA1">
        <w:rPr>
          <w:vertAlign w:val="superscript"/>
        </w:rPr>
        <w:t>2</w:t>
      </w:r>
      <w:r w:rsidR="00ED7224">
        <w:t xml:space="preserve"> is considerable and could realistically only be </w:t>
      </w:r>
      <w:r w:rsidR="00875D5A">
        <w:t>achieved</w:t>
      </w:r>
      <w:r w:rsidR="00ED7224">
        <w:t xml:space="preserve"> over </w:t>
      </w:r>
      <w:r w:rsidR="00875D5A">
        <w:t xml:space="preserve">several decades.  </w:t>
      </w:r>
    </w:p>
    <w:p w14:paraId="057FEA22" w14:textId="77777777" w:rsidR="00947698" w:rsidRDefault="00DB6AC9" w:rsidP="00947698">
      <w:pPr>
        <w:pStyle w:val="ListParagraph"/>
        <w:numPr>
          <w:ilvl w:val="1"/>
          <w:numId w:val="12"/>
        </w:numPr>
      </w:pPr>
      <w:r>
        <w:t xml:space="preserve">Do we have any </w:t>
      </w:r>
      <w:r w:rsidR="0080662F">
        <w:t xml:space="preserve">insight into the </w:t>
      </w:r>
      <w:r w:rsidR="002D1F60">
        <w:t>logistical</w:t>
      </w:r>
      <w:r w:rsidR="0080662F">
        <w:t xml:space="preserve"> implications of a 1 W/m</w:t>
      </w:r>
      <w:r w:rsidR="0080662F">
        <w:rPr>
          <w:vertAlign w:val="superscript"/>
        </w:rPr>
        <w:t>2</w:t>
      </w:r>
      <w:r w:rsidR="0080662F">
        <w:t xml:space="preserve"> </w:t>
      </w:r>
      <w:r w:rsidR="002D1F60">
        <w:t>negative forcing from changing albedo</w:t>
      </w:r>
      <w:r w:rsidR="00D12863">
        <w:t xml:space="preserve">? </w:t>
      </w:r>
      <w:r w:rsidR="002D1F60">
        <w:t xml:space="preserve"> </w:t>
      </w:r>
    </w:p>
    <w:p w14:paraId="09167810" w14:textId="02C61E2A" w:rsidR="007B5DFC" w:rsidRDefault="002D1F60" w:rsidP="00947698">
      <w:pPr>
        <w:pStyle w:val="ListParagraph"/>
        <w:numPr>
          <w:ilvl w:val="1"/>
          <w:numId w:val="12"/>
        </w:numPr>
      </w:pPr>
      <w:r>
        <w:t>Is</w:t>
      </w:r>
      <w:r w:rsidR="007B5DFC">
        <w:t xml:space="preserve"> there a case to be made that the engineering and cost implications per W/m</w:t>
      </w:r>
      <w:r w:rsidR="007B5DFC" w:rsidRPr="00757CA1">
        <w:rPr>
          <w:vertAlign w:val="superscript"/>
        </w:rPr>
        <w:t>2</w:t>
      </w:r>
      <w:r w:rsidR="007B5DFC">
        <w:t xml:space="preserve"> of scaling GHG interventions to deliver reduced forcing </w:t>
      </w:r>
      <w:r w:rsidR="00D12863">
        <w:t>are</w:t>
      </w:r>
      <w:r w:rsidR="007B5DFC">
        <w:t xml:space="preserve"> so much greater than from increasing albedo to deliver the same negative forcing, that for practical purposes</w:t>
      </w:r>
      <w:r w:rsidR="00D12863">
        <w:t xml:space="preserve">, if not for climate </w:t>
      </w:r>
      <w:r w:rsidR="00CC66A8">
        <w:t xml:space="preserve">physics and </w:t>
      </w:r>
      <w:r w:rsidR="00D12863">
        <w:t>chemistry reasons,</w:t>
      </w:r>
      <w:r w:rsidR="007B5DFC">
        <w:t xml:space="preserve"> albedo enhancement would reduce surface temperature faster than reducing current and removing past emissions?</w:t>
      </w:r>
    </w:p>
    <w:p w14:paraId="6B2FCF9A" w14:textId="343CCE30" w:rsidR="00947698" w:rsidRDefault="00DC0600" w:rsidP="00947698">
      <w:pPr>
        <w:pStyle w:val="ListParagraph"/>
        <w:numPr>
          <w:ilvl w:val="1"/>
          <w:numId w:val="12"/>
        </w:numPr>
      </w:pPr>
      <w:r>
        <w:t>AR6 WGI 4.6.3.1 states that:</w:t>
      </w:r>
    </w:p>
    <w:p w14:paraId="020972AC" w14:textId="0473A37A" w:rsidR="00DC0600" w:rsidRDefault="00DC0600" w:rsidP="00DC0600">
      <w:pPr>
        <w:ind w:left="1440"/>
      </w:pPr>
      <w:r>
        <w:t>Emergence of the GSAT response to mitigation of individual</w:t>
      </w:r>
      <w:r>
        <w:t xml:space="preserve"> </w:t>
      </w:r>
      <w:r>
        <w:t>short-lived climate forcers (SLCFs) would likewise not occur until</w:t>
      </w:r>
      <w:r>
        <w:t xml:space="preserve"> </w:t>
      </w:r>
      <w:r>
        <w:t>several decades after emissions trajectories diverge, owing to the</w:t>
      </w:r>
      <w:r>
        <w:t xml:space="preserve"> </w:t>
      </w:r>
      <w:r>
        <w:t>relatively small influence of individual SLCFs on the total ERF</w:t>
      </w:r>
      <w:r w:rsidR="00570C85">
        <w:t>.</w:t>
      </w:r>
    </w:p>
    <w:p w14:paraId="0C688FE9" w14:textId="41EBE6BE" w:rsidR="00570C85" w:rsidRDefault="00EF2461" w:rsidP="00EF2461">
      <w:pPr>
        <w:ind w:left="1134" w:hanging="414"/>
      </w:pPr>
      <w:r>
        <w:tab/>
      </w:r>
      <w:r w:rsidR="00F1575E">
        <w:t xml:space="preserve">This would seem to imply that the response time for methane would be </w:t>
      </w:r>
      <w:r w:rsidR="00FF13E3">
        <w:t xml:space="preserve">slower </w:t>
      </w:r>
      <w:r w:rsidR="00E0321F">
        <w:t>than for reduced CO</w:t>
      </w:r>
      <w:r w:rsidR="00E0321F">
        <w:rPr>
          <w:vertAlign w:val="subscript"/>
        </w:rPr>
        <w:t>2</w:t>
      </w:r>
      <w:r w:rsidR="00E0321F">
        <w:t xml:space="preserve">, which would mean that the response time was not the same for all GHGs (see </w:t>
      </w:r>
      <w:r w:rsidR="007D58EE">
        <w:t>3a above).</w:t>
      </w:r>
      <w:r w:rsidR="00E27CD4">
        <w:t xml:space="preserve">  However, the paragraph </w:t>
      </w:r>
      <w:r w:rsidR="009F2A60">
        <w:t>following the above extract suggest that more recent studies give different results</w:t>
      </w:r>
      <w:r w:rsidR="00AD3B64">
        <w:t>, although it remains unclear (to me) whether the response times would be the same for different GHGs</w:t>
      </w:r>
      <w:r w:rsidR="009F2A60">
        <w:t>.</w:t>
      </w:r>
    </w:p>
    <w:p w14:paraId="0CFDAC85" w14:textId="67C12BBC" w:rsidR="003D3AB4" w:rsidRPr="00E0321F" w:rsidRDefault="00CE4B9F" w:rsidP="00FF619D">
      <w:pPr>
        <w:pStyle w:val="ListParagraph"/>
        <w:numPr>
          <w:ilvl w:val="1"/>
          <w:numId w:val="12"/>
        </w:numPr>
      </w:pPr>
      <w:r>
        <w:t xml:space="preserve">AR6 WGI 4.6.3.2 </w:t>
      </w:r>
      <w:r w:rsidR="00F730AC">
        <w:t xml:space="preserve">summarises various papers to conclude that </w:t>
      </w:r>
      <w:r w:rsidR="002C39B0">
        <w:t>to avoid significant overshoot of 1.5</w:t>
      </w:r>
      <w:r w:rsidR="002C39B0" w:rsidRPr="00FF619D">
        <w:rPr>
          <w:vertAlign w:val="superscript"/>
        </w:rPr>
        <w:t>o</w:t>
      </w:r>
      <w:r w:rsidR="002C39B0">
        <w:t>C, some 730 GtCO</w:t>
      </w:r>
      <w:r w:rsidR="002C39B0" w:rsidRPr="00FF619D">
        <w:rPr>
          <w:vertAlign w:val="subscript"/>
        </w:rPr>
        <w:t>2</w:t>
      </w:r>
      <w:r w:rsidR="002C39B0">
        <w:t xml:space="preserve"> would have to be removed by 2100.</w:t>
      </w:r>
      <w:r w:rsidR="00146B7A">
        <w:t xml:space="preserve">  It also refers to other studies that conclude th</w:t>
      </w:r>
      <w:r w:rsidR="00960A76">
        <w:t>at ‘</w:t>
      </w:r>
      <w:r w:rsidR="00960A76" w:rsidRPr="00960A76">
        <w:t>it</w:t>
      </w:r>
      <w:r w:rsidR="00960A76">
        <w:t xml:space="preserve"> </w:t>
      </w:r>
      <w:r w:rsidR="00960A76" w:rsidRPr="00960A76">
        <w:t>is implausible that any CDR technique can be implemented at the</w:t>
      </w:r>
      <w:r w:rsidR="00960A76">
        <w:t xml:space="preserve"> </w:t>
      </w:r>
      <w:r w:rsidR="00960A76" w:rsidRPr="00960A76">
        <w:t>scale needed by 2050.</w:t>
      </w:r>
      <w:r w:rsidR="00960A76">
        <w:t>’</w:t>
      </w:r>
      <w:r w:rsidR="00CD13E4">
        <w:t xml:space="preserve">  It also notes that in high emissions scenarios ‘</w:t>
      </w:r>
      <w:r w:rsidR="00CD13E4" w:rsidRPr="00CD13E4">
        <w:t>the potential role that CDR will play in lowering</w:t>
      </w:r>
      <w:r w:rsidR="00CD13E4">
        <w:t xml:space="preserve"> </w:t>
      </w:r>
      <w:r w:rsidR="00CD13E4" w:rsidRPr="00CD13E4">
        <w:t>the temperature in high-emissions scenarios is limited (medium</w:t>
      </w:r>
      <w:r w:rsidR="00CD13E4">
        <w:t xml:space="preserve"> </w:t>
      </w:r>
      <w:r w:rsidR="00CD13E4" w:rsidRPr="00CD13E4">
        <w:t>confidence)</w:t>
      </w:r>
      <w:r w:rsidR="001225BB">
        <w:t>’</w:t>
      </w:r>
      <w:r w:rsidR="00CD13E4" w:rsidRPr="00CD13E4">
        <w:t>.</w:t>
      </w:r>
    </w:p>
    <w:p w14:paraId="3E1B5325" w14:textId="2278A31E" w:rsidR="00240843" w:rsidRDefault="00240843" w:rsidP="00107DB4">
      <w:pPr>
        <w:pStyle w:val="ListParagraph"/>
      </w:pPr>
      <w:r>
        <w:t>Is W/m</w:t>
      </w:r>
      <w:r>
        <w:rPr>
          <w:vertAlign w:val="superscript"/>
        </w:rPr>
        <w:t>2</w:t>
      </w:r>
      <w:r>
        <w:t xml:space="preserve"> a suitable metric for policy purposes?  It defines the forcing power but gives no indication of its sustainability or cost.  A powerful cooling process in terms of W/m</w:t>
      </w:r>
      <w:r>
        <w:rPr>
          <w:vertAlign w:val="superscript"/>
        </w:rPr>
        <w:t>2</w:t>
      </w:r>
      <w:r>
        <w:t xml:space="preserve"> that can only be deployed at certain times of the </w:t>
      </w:r>
      <w:r w:rsidR="00FE4E31">
        <w:t xml:space="preserve">day or </w:t>
      </w:r>
      <w:r>
        <w:t xml:space="preserve">year in a limited range of geographies or weather conditions, may be less </w:t>
      </w:r>
      <w:r w:rsidR="00FE4E31">
        <w:t>effective</w:t>
      </w:r>
      <w:r>
        <w:t xml:space="preserve"> than a less powerful one that can be kept delivering </w:t>
      </w:r>
      <w:r w:rsidR="00FE4E31">
        <w:t>24/7.  Could alternative metric</w:t>
      </w:r>
      <w:r w:rsidR="008F208E">
        <w:t>s</w:t>
      </w:r>
      <w:r w:rsidR="00FE4E31">
        <w:t xml:space="preserve"> that capture the efficacy and cost efficiency be of value?  For </w:t>
      </w:r>
      <w:r w:rsidR="008F208E">
        <w:t>example,</w:t>
      </w:r>
      <w:r w:rsidR="00FE4E31">
        <w:t xml:space="preserve"> J</w:t>
      </w:r>
      <w:r w:rsidR="00FE4E31" w:rsidRPr="00FE4E31">
        <w:t>m</w:t>
      </w:r>
      <w:r w:rsidR="00FE4E31" w:rsidRPr="00FE4E31">
        <w:rPr>
          <w:vertAlign w:val="superscript"/>
        </w:rPr>
        <w:t>-2</w:t>
      </w:r>
      <w:r w:rsidR="00FE4E31" w:rsidRPr="00FE4E31">
        <w:t>y</w:t>
      </w:r>
      <w:r w:rsidR="008F208E">
        <w:rPr>
          <w:vertAlign w:val="superscript"/>
        </w:rPr>
        <w:t>-1</w:t>
      </w:r>
      <w:r w:rsidR="00FE4E31">
        <w:t xml:space="preserve"> and $</w:t>
      </w:r>
      <w:r w:rsidR="008F208E">
        <w:t>J</w:t>
      </w:r>
      <w:r w:rsidR="008F208E">
        <w:rPr>
          <w:vertAlign w:val="superscript"/>
        </w:rPr>
        <w:t>-1</w:t>
      </w:r>
      <w:r w:rsidR="008F208E">
        <w:t>m</w:t>
      </w:r>
      <w:r w:rsidR="008F208E">
        <w:rPr>
          <w:vertAlign w:val="superscript"/>
        </w:rPr>
        <w:t>2</w:t>
      </w:r>
      <w:r w:rsidR="008F208E">
        <w:t>y.</w:t>
      </w:r>
    </w:p>
    <w:sectPr w:rsidR="00240843" w:rsidSect="005C26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129EA" w14:textId="77777777" w:rsidR="002862F9" w:rsidRDefault="002862F9" w:rsidP="009E7272">
      <w:pPr>
        <w:spacing w:after="0" w:line="240" w:lineRule="auto"/>
      </w:pPr>
      <w:r>
        <w:separator/>
      </w:r>
    </w:p>
  </w:endnote>
  <w:endnote w:type="continuationSeparator" w:id="0">
    <w:p w14:paraId="15934B81" w14:textId="77777777" w:rsidR="002862F9" w:rsidRDefault="002862F9" w:rsidP="009E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CC3BE" w14:textId="77777777" w:rsidR="005C2630" w:rsidRDefault="005C2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543E8" w14:textId="13EFF2F8" w:rsidR="009E7272" w:rsidRPr="007E07A9" w:rsidRDefault="009E7272">
    <w:pPr>
      <w:pBdr>
        <w:top w:val="single" w:sz="4" w:space="1" w:color="auto"/>
      </w:pBdr>
      <w:tabs>
        <w:tab w:val="center" w:pos="4513"/>
        <w:tab w:val="right" w:pos="9026"/>
      </w:tabs>
      <w:spacing w:after="0" w:line="240" w:lineRule="auto"/>
    </w:pPr>
    <w:r w:rsidRPr="007E07A9">
      <w:t>Robert Chris ©</w:t>
    </w:r>
    <w:r w:rsidR="002F0187">
      <w:t xml:space="preserve"> </w:t>
    </w:r>
    <w:r w:rsidR="002F0187">
      <w:fldChar w:fldCharType="begin"/>
    </w:r>
    <w:r w:rsidR="002F0187">
      <w:instrText xml:space="preserve"> CREATEDATE  [\@ "yyyy"] \* MERGEFORMAT </w:instrText>
    </w:r>
    <w:r w:rsidR="002F0187">
      <w:fldChar w:fldCharType="separate"/>
    </w:r>
    <w:r w:rsidR="002F0187">
      <w:rPr>
        <w:noProof/>
      </w:rPr>
      <w:t>2024</w:t>
    </w:r>
    <w:r w:rsidR="002F0187">
      <w:fldChar w:fldCharType="end"/>
    </w:r>
    <w:r w:rsidRPr="007E07A9">
      <w:tab/>
      <w:t xml:space="preserve">Page </w:t>
    </w:r>
    <w:r w:rsidRPr="007E07A9">
      <w:fldChar w:fldCharType="begin"/>
    </w:r>
    <w:r w:rsidRPr="007E07A9">
      <w:instrText xml:space="preserve"> PAGE  \* Arabic  \* MERGEFORMAT </w:instrText>
    </w:r>
    <w:r w:rsidRPr="007E07A9">
      <w:fldChar w:fldCharType="separate"/>
    </w:r>
    <w:r w:rsidRPr="007E07A9">
      <w:t>1</w:t>
    </w:r>
    <w:r w:rsidRPr="007E07A9">
      <w:fldChar w:fldCharType="end"/>
    </w:r>
    <w:r w:rsidRPr="007E07A9">
      <w:t xml:space="preserve"> of </w:t>
    </w:r>
    <w:r w:rsidR="00B97B93">
      <w:fldChar w:fldCharType="begin"/>
    </w:r>
    <w:r w:rsidR="00B97B93">
      <w:instrText xml:space="preserve"> NUMPAGES  \* Arabic  \* MERGEFORMAT </w:instrText>
    </w:r>
    <w:r w:rsidR="00B97B93">
      <w:fldChar w:fldCharType="separate"/>
    </w:r>
    <w:r w:rsidRPr="007E07A9">
      <w:t>3</w:t>
    </w:r>
    <w:r w:rsidR="00B97B93">
      <w:fldChar w:fldCharType="end"/>
    </w:r>
    <w:r w:rsidRPr="007E07A9">
      <w:tab/>
    </w:r>
    <w:r w:rsidRPr="007E07A9">
      <w:fldChar w:fldCharType="begin"/>
    </w:r>
    <w:r w:rsidRPr="007E07A9">
      <w:instrText xml:space="preserve"> SAVEDATE \@ "d MMMM, yyyy" \* MERGEFORMAT </w:instrText>
    </w:r>
    <w:r w:rsidRPr="007E07A9">
      <w:fldChar w:fldCharType="separate"/>
    </w:r>
    <w:r w:rsidR="00725937">
      <w:rPr>
        <w:noProof/>
      </w:rPr>
      <w:t>27 June, 2024</w:t>
    </w:r>
    <w:r w:rsidRPr="007E07A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1FD4" w14:textId="77777777" w:rsidR="005C2630" w:rsidRDefault="005C2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2B7B" w14:textId="77777777" w:rsidR="002862F9" w:rsidRDefault="002862F9" w:rsidP="009E7272">
      <w:pPr>
        <w:spacing w:after="0" w:line="240" w:lineRule="auto"/>
      </w:pPr>
      <w:r>
        <w:separator/>
      </w:r>
    </w:p>
  </w:footnote>
  <w:footnote w:type="continuationSeparator" w:id="0">
    <w:p w14:paraId="5D7F5601" w14:textId="77777777" w:rsidR="002862F9" w:rsidRDefault="002862F9" w:rsidP="009E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7C57C" w14:textId="77777777" w:rsidR="005C2630" w:rsidRDefault="005C2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6F7A" w14:textId="582E164C" w:rsidR="00B57C37" w:rsidRPr="00B57C37" w:rsidRDefault="00B57C37" w:rsidP="00B57C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D455" w14:textId="77777777" w:rsidR="005C2630" w:rsidRDefault="005C2630" w:rsidP="005C2630">
    <w:pPr>
      <w:rPr>
        <w:b/>
        <w:bCs/>
        <w:sz w:val="36"/>
        <w:szCs w:val="36"/>
      </w:rPr>
    </w:pPr>
    <w:r w:rsidRPr="00E0335C">
      <w:rPr>
        <w:b/>
        <w:bCs/>
        <w:sz w:val="36"/>
        <w:szCs w:val="36"/>
      </w:rPr>
      <w:t xml:space="preserve">Discussion </w:t>
    </w:r>
    <w:proofErr w:type="gramStart"/>
    <w:r w:rsidRPr="00E0335C">
      <w:rPr>
        <w:b/>
        <w:bCs/>
        <w:sz w:val="36"/>
        <w:szCs w:val="36"/>
      </w:rPr>
      <w:t>note</w:t>
    </w:r>
    <w:proofErr w:type="gramEnd"/>
    <w:r w:rsidRPr="00E0335C">
      <w:rPr>
        <w:b/>
        <w:bCs/>
        <w:sz w:val="36"/>
        <w:szCs w:val="36"/>
      </w:rPr>
      <w:t xml:space="preserve"> for Mike MacCracken regarding relative cooling </w:t>
    </w:r>
    <w:r w:rsidRPr="00B57C37">
      <w:rPr>
        <w:b/>
        <w:bCs/>
        <w:sz w:val="36"/>
        <w:szCs w:val="36"/>
      </w:rPr>
      <w:t>efficacy of GGR and SRM</w:t>
    </w:r>
  </w:p>
  <w:p w14:paraId="06BDE269" w14:textId="7DD12039" w:rsidR="005C2630" w:rsidRPr="005C2630" w:rsidRDefault="00B97B93" w:rsidP="005C2630">
    <w:pPr>
      <w:pStyle w:val="Header"/>
    </w:pPr>
    <w:r>
      <w:t>Robert Chris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C25"/>
    <w:multiLevelType w:val="hybridMultilevel"/>
    <w:tmpl w:val="E2AC72D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D513EF"/>
    <w:multiLevelType w:val="multilevel"/>
    <w:tmpl w:val="83164902"/>
    <w:lvl w:ilvl="0">
      <w:start w:val="1"/>
      <w:numFmt w:val="decimal"/>
      <w:pStyle w:val="He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Head4"/>
      <w:lvlText w:val="%4.%1.%3.%2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FC91569"/>
    <w:multiLevelType w:val="multilevel"/>
    <w:tmpl w:val="6162893C"/>
    <w:styleLink w:val="NumberedHeadings1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%1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%1.%2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4.%1.%2.%3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4F285C"/>
    <w:multiLevelType w:val="hybridMultilevel"/>
    <w:tmpl w:val="F91C5E78"/>
    <w:lvl w:ilvl="0" w:tplc="FF9CC4D4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7E7434"/>
    <w:multiLevelType w:val="hybridMultilevel"/>
    <w:tmpl w:val="764CD46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0476"/>
    <w:multiLevelType w:val="multilevel"/>
    <w:tmpl w:val="43FA383A"/>
    <w:styleLink w:val="Numbered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%2.%1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%1.%3.%2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53B2AB5"/>
    <w:multiLevelType w:val="hybridMultilevel"/>
    <w:tmpl w:val="18E0C7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6752561">
    <w:abstractNumId w:val="1"/>
  </w:num>
  <w:num w:numId="2" w16cid:durableId="245654456">
    <w:abstractNumId w:val="1"/>
  </w:num>
  <w:num w:numId="3" w16cid:durableId="355039726">
    <w:abstractNumId w:val="1"/>
  </w:num>
  <w:num w:numId="4" w16cid:durableId="1674335899">
    <w:abstractNumId w:val="2"/>
  </w:num>
  <w:num w:numId="5" w16cid:durableId="1415544608">
    <w:abstractNumId w:val="1"/>
  </w:num>
  <w:num w:numId="6" w16cid:durableId="632488117">
    <w:abstractNumId w:val="2"/>
  </w:num>
  <w:num w:numId="7" w16cid:durableId="986320258">
    <w:abstractNumId w:val="2"/>
  </w:num>
  <w:num w:numId="8" w16cid:durableId="2013560418">
    <w:abstractNumId w:val="2"/>
  </w:num>
  <w:num w:numId="9" w16cid:durableId="790444312">
    <w:abstractNumId w:val="5"/>
  </w:num>
  <w:num w:numId="10" w16cid:durableId="910431033">
    <w:abstractNumId w:val="2"/>
  </w:num>
  <w:num w:numId="11" w16cid:durableId="329066979">
    <w:abstractNumId w:val="1"/>
  </w:num>
  <w:num w:numId="12" w16cid:durableId="1004557031">
    <w:abstractNumId w:val="3"/>
  </w:num>
  <w:num w:numId="13" w16cid:durableId="999692204">
    <w:abstractNumId w:val="6"/>
  </w:num>
  <w:num w:numId="14" w16cid:durableId="1184173766">
    <w:abstractNumId w:val="3"/>
  </w:num>
  <w:num w:numId="15" w16cid:durableId="457258057">
    <w:abstractNumId w:val="0"/>
  </w:num>
  <w:num w:numId="16" w16cid:durableId="2136361478">
    <w:abstractNumId w:val="3"/>
  </w:num>
  <w:num w:numId="17" w16cid:durableId="1910116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2F9"/>
    <w:rsid w:val="00000B4B"/>
    <w:rsid w:val="000012E1"/>
    <w:rsid w:val="00006A81"/>
    <w:rsid w:val="00007026"/>
    <w:rsid w:val="00015825"/>
    <w:rsid w:val="00017F2A"/>
    <w:rsid w:val="0002060D"/>
    <w:rsid w:val="00032D3A"/>
    <w:rsid w:val="00033F47"/>
    <w:rsid w:val="00036AE5"/>
    <w:rsid w:val="00037189"/>
    <w:rsid w:val="000443AA"/>
    <w:rsid w:val="00060411"/>
    <w:rsid w:val="00070732"/>
    <w:rsid w:val="0008531E"/>
    <w:rsid w:val="00090547"/>
    <w:rsid w:val="00094DE5"/>
    <w:rsid w:val="00095234"/>
    <w:rsid w:val="000965BA"/>
    <w:rsid w:val="000A5E62"/>
    <w:rsid w:val="000D3635"/>
    <w:rsid w:val="000E2360"/>
    <w:rsid w:val="000F57C6"/>
    <w:rsid w:val="000F5DF1"/>
    <w:rsid w:val="001002A3"/>
    <w:rsid w:val="00105BAD"/>
    <w:rsid w:val="00107DB4"/>
    <w:rsid w:val="00114B76"/>
    <w:rsid w:val="00116BD3"/>
    <w:rsid w:val="001225BB"/>
    <w:rsid w:val="001331B3"/>
    <w:rsid w:val="00133CF7"/>
    <w:rsid w:val="00143FD9"/>
    <w:rsid w:val="00146B7A"/>
    <w:rsid w:val="00170A89"/>
    <w:rsid w:val="0017194A"/>
    <w:rsid w:val="00171A19"/>
    <w:rsid w:val="001906CE"/>
    <w:rsid w:val="001917C8"/>
    <w:rsid w:val="00196925"/>
    <w:rsid w:val="001A40DC"/>
    <w:rsid w:val="001B4E33"/>
    <w:rsid w:val="001B59AF"/>
    <w:rsid w:val="001C0012"/>
    <w:rsid w:val="001C0F4D"/>
    <w:rsid w:val="001C7BA9"/>
    <w:rsid w:val="001D4265"/>
    <w:rsid w:val="00202617"/>
    <w:rsid w:val="00207E30"/>
    <w:rsid w:val="00216EC9"/>
    <w:rsid w:val="00221D9D"/>
    <w:rsid w:val="00232876"/>
    <w:rsid w:val="00240843"/>
    <w:rsid w:val="00241300"/>
    <w:rsid w:val="00244E2B"/>
    <w:rsid w:val="00253808"/>
    <w:rsid w:val="00255906"/>
    <w:rsid w:val="00256519"/>
    <w:rsid w:val="00257E62"/>
    <w:rsid w:val="002627A6"/>
    <w:rsid w:val="00265C2C"/>
    <w:rsid w:val="00274DBE"/>
    <w:rsid w:val="00277BE8"/>
    <w:rsid w:val="002862F9"/>
    <w:rsid w:val="002C39B0"/>
    <w:rsid w:val="002C40BD"/>
    <w:rsid w:val="002C6912"/>
    <w:rsid w:val="002D1F60"/>
    <w:rsid w:val="002D4C91"/>
    <w:rsid w:val="002F0187"/>
    <w:rsid w:val="003003FD"/>
    <w:rsid w:val="00331997"/>
    <w:rsid w:val="00345AFA"/>
    <w:rsid w:val="00350278"/>
    <w:rsid w:val="0036744B"/>
    <w:rsid w:val="00380187"/>
    <w:rsid w:val="00380D54"/>
    <w:rsid w:val="0039133D"/>
    <w:rsid w:val="003962A2"/>
    <w:rsid w:val="003B3D44"/>
    <w:rsid w:val="003D0AFA"/>
    <w:rsid w:val="003D29BE"/>
    <w:rsid w:val="003D3AB4"/>
    <w:rsid w:val="003E09F8"/>
    <w:rsid w:val="003F3079"/>
    <w:rsid w:val="00401E58"/>
    <w:rsid w:val="004065F1"/>
    <w:rsid w:val="004169DC"/>
    <w:rsid w:val="0042165E"/>
    <w:rsid w:val="00427426"/>
    <w:rsid w:val="0043069C"/>
    <w:rsid w:val="00435B1E"/>
    <w:rsid w:val="004611FA"/>
    <w:rsid w:val="00464DFE"/>
    <w:rsid w:val="004716F8"/>
    <w:rsid w:val="00471A6E"/>
    <w:rsid w:val="004720F2"/>
    <w:rsid w:val="00472FFF"/>
    <w:rsid w:val="0048665E"/>
    <w:rsid w:val="004A54DB"/>
    <w:rsid w:val="004B011D"/>
    <w:rsid w:val="004D6467"/>
    <w:rsid w:val="004E38F3"/>
    <w:rsid w:val="005017AD"/>
    <w:rsid w:val="00511A2E"/>
    <w:rsid w:val="00514F1E"/>
    <w:rsid w:val="00521A38"/>
    <w:rsid w:val="0052378C"/>
    <w:rsid w:val="00526EAC"/>
    <w:rsid w:val="00531703"/>
    <w:rsid w:val="00532C11"/>
    <w:rsid w:val="00556832"/>
    <w:rsid w:val="00566AA1"/>
    <w:rsid w:val="00570C85"/>
    <w:rsid w:val="00570DEC"/>
    <w:rsid w:val="00573A03"/>
    <w:rsid w:val="00593B07"/>
    <w:rsid w:val="005B0651"/>
    <w:rsid w:val="005C239E"/>
    <w:rsid w:val="005C2630"/>
    <w:rsid w:val="005C69CC"/>
    <w:rsid w:val="005C7DB1"/>
    <w:rsid w:val="005D1F5B"/>
    <w:rsid w:val="005D220F"/>
    <w:rsid w:val="005E0BB6"/>
    <w:rsid w:val="005E66A5"/>
    <w:rsid w:val="005E6FC5"/>
    <w:rsid w:val="005E7EC9"/>
    <w:rsid w:val="005F0F45"/>
    <w:rsid w:val="005F451D"/>
    <w:rsid w:val="006015CF"/>
    <w:rsid w:val="006031A8"/>
    <w:rsid w:val="006053FA"/>
    <w:rsid w:val="006054C4"/>
    <w:rsid w:val="00611EA0"/>
    <w:rsid w:val="00613788"/>
    <w:rsid w:val="00623EA7"/>
    <w:rsid w:val="0063429D"/>
    <w:rsid w:val="00647B28"/>
    <w:rsid w:val="00654A84"/>
    <w:rsid w:val="00665ADF"/>
    <w:rsid w:val="0067336E"/>
    <w:rsid w:val="006967F0"/>
    <w:rsid w:val="006A39D2"/>
    <w:rsid w:val="006B4FD5"/>
    <w:rsid w:val="006B6CC8"/>
    <w:rsid w:val="006C6752"/>
    <w:rsid w:val="006D41F6"/>
    <w:rsid w:val="006D549D"/>
    <w:rsid w:val="006D5DFF"/>
    <w:rsid w:val="006E1AFC"/>
    <w:rsid w:val="006E6164"/>
    <w:rsid w:val="00700234"/>
    <w:rsid w:val="00700AE9"/>
    <w:rsid w:val="00701484"/>
    <w:rsid w:val="007054A2"/>
    <w:rsid w:val="00711EE2"/>
    <w:rsid w:val="00725937"/>
    <w:rsid w:val="00741445"/>
    <w:rsid w:val="0074508C"/>
    <w:rsid w:val="00746630"/>
    <w:rsid w:val="00747320"/>
    <w:rsid w:val="00750FCB"/>
    <w:rsid w:val="00751041"/>
    <w:rsid w:val="00755DE5"/>
    <w:rsid w:val="00757CA1"/>
    <w:rsid w:val="0078285E"/>
    <w:rsid w:val="00786981"/>
    <w:rsid w:val="007A7D4F"/>
    <w:rsid w:val="007B5DFC"/>
    <w:rsid w:val="007C27B8"/>
    <w:rsid w:val="007D58EE"/>
    <w:rsid w:val="007F6152"/>
    <w:rsid w:val="0080059A"/>
    <w:rsid w:val="00805F60"/>
    <w:rsid w:val="0080662F"/>
    <w:rsid w:val="00822302"/>
    <w:rsid w:val="0082775A"/>
    <w:rsid w:val="00842C15"/>
    <w:rsid w:val="00857B66"/>
    <w:rsid w:val="0087130B"/>
    <w:rsid w:val="0087561A"/>
    <w:rsid w:val="00875D5A"/>
    <w:rsid w:val="00896784"/>
    <w:rsid w:val="008A0953"/>
    <w:rsid w:val="008B59CD"/>
    <w:rsid w:val="008C15D7"/>
    <w:rsid w:val="008C32CD"/>
    <w:rsid w:val="008E644D"/>
    <w:rsid w:val="008E69B8"/>
    <w:rsid w:val="008F106C"/>
    <w:rsid w:val="008F208E"/>
    <w:rsid w:val="008F454D"/>
    <w:rsid w:val="008F4C73"/>
    <w:rsid w:val="00901660"/>
    <w:rsid w:val="00916544"/>
    <w:rsid w:val="009438CC"/>
    <w:rsid w:val="00947698"/>
    <w:rsid w:val="00952D0F"/>
    <w:rsid w:val="009572F4"/>
    <w:rsid w:val="00960936"/>
    <w:rsid w:val="00960A76"/>
    <w:rsid w:val="009610A9"/>
    <w:rsid w:val="00962D55"/>
    <w:rsid w:val="00965485"/>
    <w:rsid w:val="00966542"/>
    <w:rsid w:val="00967320"/>
    <w:rsid w:val="00977833"/>
    <w:rsid w:val="00980B54"/>
    <w:rsid w:val="00981FDE"/>
    <w:rsid w:val="009A24B7"/>
    <w:rsid w:val="009B0438"/>
    <w:rsid w:val="009B078C"/>
    <w:rsid w:val="009B4DEF"/>
    <w:rsid w:val="009B72A6"/>
    <w:rsid w:val="009C7F5B"/>
    <w:rsid w:val="009D2150"/>
    <w:rsid w:val="009D2468"/>
    <w:rsid w:val="009D257E"/>
    <w:rsid w:val="009E0300"/>
    <w:rsid w:val="009E7272"/>
    <w:rsid w:val="009F1E02"/>
    <w:rsid w:val="009F24A4"/>
    <w:rsid w:val="009F2A60"/>
    <w:rsid w:val="00A04C14"/>
    <w:rsid w:val="00A04F29"/>
    <w:rsid w:val="00A163FB"/>
    <w:rsid w:val="00A17D96"/>
    <w:rsid w:val="00A25049"/>
    <w:rsid w:val="00A26AF4"/>
    <w:rsid w:val="00A43635"/>
    <w:rsid w:val="00A507E3"/>
    <w:rsid w:val="00A731E3"/>
    <w:rsid w:val="00A8259A"/>
    <w:rsid w:val="00A866CD"/>
    <w:rsid w:val="00A87FF8"/>
    <w:rsid w:val="00A973DE"/>
    <w:rsid w:val="00AA1BB5"/>
    <w:rsid w:val="00AB3271"/>
    <w:rsid w:val="00AC264D"/>
    <w:rsid w:val="00AD22C2"/>
    <w:rsid w:val="00AD3B64"/>
    <w:rsid w:val="00AE0B3B"/>
    <w:rsid w:val="00AF6A73"/>
    <w:rsid w:val="00B03BAC"/>
    <w:rsid w:val="00B16DDB"/>
    <w:rsid w:val="00B1721E"/>
    <w:rsid w:val="00B31D6C"/>
    <w:rsid w:val="00B35234"/>
    <w:rsid w:val="00B35FBF"/>
    <w:rsid w:val="00B4547F"/>
    <w:rsid w:val="00B518D0"/>
    <w:rsid w:val="00B53377"/>
    <w:rsid w:val="00B53DD1"/>
    <w:rsid w:val="00B57724"/>
    <w:rsid w:val="00B57C37"/>
    <w:rsid w:val="00B80610"/>
    <w:rsid w:val="00B93EAD"/>
    <w:rsid w:val="00B96D33"/>
    <w:rsid w:val="00B97B93"/>
    <w:rsid w:val="00BA5852"/>
    <w:rsid w:val="00BA624D"/>
    <w:rsid w:val="00BA65A7"/>
    <w:rsid w:val="00BC2296"/>
    <w:rsid w:val="00BD1F69"/>
    <w:rsid w:val="00C00331"/>
    <w:rsid w:val="00C17C3C"/>
    <w:rsid w:val="00C26443"/>
    <w:rsid w:val="00C27A47"/>
    <w:rsid w:val="00C33271"/>
    <w:rsid w:val="00C371F7"/>
    <w:rsid w:val="00C40270"/>
    <w:rsid w:val="00C4534F"/>
    <w:rsid w:val="00C512EA"/>
    <w:rsid w:val="00C54F4A"/>
    <w:rsid w:val="00C72D62"/>
    <w:rsid w:val="00C754DC"/>
    <w:rsid w:val="00C80EC1"/>
    <w:rsid w:val="00C87C38"/>
    <w:rsid w:val="00CA7367"/>
    <w:rsid w:val="00CC4938"/>
    <w:rsid w:val="00CC5BAD"/>
    <w:rsid w:val="00CC66A8"/>
    <w:rsid w:val="00CC787F"/>
    <w:rsid w:val="00CD13E4"/>
    <w:rsid w:val="00CE4B9F"/>
    <w:rsid w:val="00CF43EF"/>
    <w:rsid w:val="00D058AE"/>
    <w:rsid w:val="00D11430"/>
    <w:rsid w:val="00D12863"/>
    <w:rsid w:val="00D15C37"/>
    <w:rsid w:val="00D23CC5"/>
    <w:rsid w:val="00D33FF3"/>
    <w:rsid w:val="00D433C7"/>
    <w:rsid w:val="00D61A63"/>
    <w:rsid w:val="00D645B4"/>
    <w:rsid w:val="00D64C52"/>
    <w:rsid w:val="00D6725D"/>
    <w:rsid w:val="00D71975"/>
    <w:rsid w:val="00D71B3E"/>
    <w:rsid w:val="00D72318"/>
    <w:rsid w:val="00D75B00"/>
    <w:rsid w:val="00D76F96"/>
    <w:rsid w:val="00D80247"/>
    <w:rsid w:val="00D807E3"/>
    <w:rsid w:val="00D819B0"/>
    <w:rsid w:val="00D84185"/>
    <w:rsid w:val="00DA4E59"/>
    <w:rsid w:val="00DA4F61"/>
    <w:rsid w:val="00DB333F"/>
    <w:rsid w:val="00DB66C2"/>
    <w:rsid w:val="00DB6995"/>
    <w:rsid w:val="00DB6AC9"/>
    <w:rsid w:val="00DC0600"/>
    <w:rsid w:val="00DC3571"/>
    <w:rsid w:val="00E0321F"/>
    <w:rsid w:val="00E0335C"/>
    <w:rsid w:val="00E06B8E"/>
    <w:rsid w:val="00E06C55"/>
    <w:rsid w:val="00E16725"/>
    <w:rsid w:val="00E218DA"/>
    <w:rsid w:val="00E27CD4"/>
    <w:rsid w:val="00E3101A"/>
    <w:rsid w:val="00E46F27"/>
    <w:rsid w:val="00E517F9"/>
    <w:rsid w:val="00E528AB"/>
    <w:rsid w:val="00E55FCA"/>
    <w:rsid w:val="00E56D44"/>
    <w:rsid w:val="00E631E9"/>
    <w:rsid w:val="00E65285"/>
    <w:rsid w:val="00E71748"/>
    <w:rsid w:val="00E85A7D"/>
    <w:rsid w:val="00E85BFF"/>
    <w:rsid w:val="00EB08A6"/>
    <w:rsid w:val="00EB5604"/>
    <w:rsid w:val="00EC0529"/>
    <w:rsid w:val="00ED7224"/>
    <w:rsid w:val="00EE27A6"/>
    <w:rsid w:val="00EE573F"/>
    <w:rsid w:val="00EF0627"/>
    <w:rsid w:val="00EF112F"/>
    <w:rsid w:val="00EF2461"/>
    <w:rsid w:val="00EF77A8"/>
    <w:rsid w:val="00F0067F"/>
    <w:rsid w:val="00F12AC9"/>
    <w:rsid w:val="00F154AC"/>
    <w:rsid w:val="00F1575E"/>
    <w:rsid w:val="00F162DF"/>
    <w:rsid w:val="00F25133"/>
    <w:rsid w:val="00F263E1"/>
    <w:rsid w:val="00F273B7"/>
    <w:rsid w:val="00F31B90"/>
    <w:rsid w:val="00F47EFA"/>
    <w:rsid w:val="00F5447E"/>
    <w:rsid w:val="00F55E97"/>
    <w:rsid w:val="00F607A4"/>
    <w:rsid w:val="00F612D7"/>
    <w:rsid w:val="00F700DA"/>
    <w:rsid w:val="00F730AC"/>
    <w:rsid w:val="00F737A7"/>
    <w:rsid w:val="00F76A28"/>
    <w:rsid w:val="00F77C37"/>
    <w:rsid w:val="00F82F9E"/>
    <w:rsid w:val="00FA4B51"/>
    <w:rsid w:val="00FB3E8D"/>
    <w:rsid w:val="00FC4751"/>
    <w:rsid w:val="00FD1E59"/>
    <w:rsid w:val="00FD3D9E"/>
    <w:rsid w:val="00FD7915"/>
    <w:rsid w:val="00FE105A"/>
    <w:rsid w:val="00FE4E31"/>
    <w:rsid w:val="00FE4F64"/>
    <w:rsid w:val="00FF011F"/>
    <w:rsid w:val="00FF13E3"/>
    <w:rsid w:val="00FF2AED"/>
    <w:rsid w:val="00FF619D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34410"/>
  <w15:chartTrackingRefBased/>
  <w15:docId w15:val="{4CF6AE24-1850-48F9-A2C8-6D9BA229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30"/>
  </w:style>
  <w:style w:type="paragraph" w:styleId="Heading1">
    <w:name w:val="heading 1"/>
    <w:basedOn w:val="Normal"/>
    <w:next w:val="Heading2"/>
    <w:link w:val="Heading1Char"/>
    <w:uiPriority w:val="9"/>
    <w:qFormat/>
    <w:rsid w:val="0017194A"/>
    <w:pPr>
      <w:keepNext/>
      <w:keepLines/>
      <w:numPr>
        <w:numId w:val="10"/>
      </w:numPr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17194A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94A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194A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01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01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01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01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01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17194A"/>
    <w:pPr>
      <w:tabs>
        <w:tab w:val="left" w:pos="264"/>
      </w:tabs>
      <w:spacing w:after="0" w:line="480" w:lineRule="auto"/>
      <w:ind w:left="264" w:hanging="264"/>
    </w:pPr>
  </w:style>
  <w:style w:type="paragraph" w:styleId="Footer">
    <w:name w:val="footer"/>
    <w:basedOn w:val="Normal"/>
    <w:link w:val="FooterChar"/>
    <w:uiPriority w:val="99"/>
    <w:unhideWhenUsed/>
    <w:rsid w:val="00171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94A"/>
  </w:style>
  <w:style w:type="paragraph" w:customStyle="1" w:styleId="Head1">
    <w:name w:val="Head1"/>
    <w:link w:val="Head1Char"/>
    <w:qFormat/>
    <w:rsid w:val="0017194A"/>
    <w:pPr>
      <w:numPr>
        <w:numId w:val="5"/>
      </w:numPr>
    </w:pPr>
    <w:rPr>
      <w:rFonts w:ascii="Calibri" w:eastAsiaTheme="majorEastAsia" w:hAnsi="Calibri" w:cstheme="minorHAnsi"/>
      <w:b/>
      <w:bCs/>
      <w:sz w:val="28"/>
      <w:szCs w:val="28"/>
    </w:rPr>
  </w:style>
  <w:style w:type="character" w:customStyle="1" w:styleId="Head1Char">
    <w:name w:val="Head1 Char"/>
    <w:basedOn w:val="DefaultParagraphFont"/>
    <w:link w:val="Head1"/>
    <w:rsid w:val="0017194A"/>
    <w:rPr>
      <w:rFonts w:ascii="Calibri" w:eastAsiaTheme="majorEastAsia" w:hAnsi="Calibri" w:cstheme="minorHAnsi"/>
      <w:b/>
      <w:bCs/>
      <w:sz w:val="28"/>
      <w:szCs w:val="28"/>
    </w:rPr>
  </w:style>
  <w:style w:type="paragraph" w:customStyle="1" w:styleId="Head2">
    <w:name w:val="Head2"/>
    <w:basedOn w:val="Head1"/>
    <w:link w:val="Head2Char"/>
    <w:qFormat/>
    <w:rsid w:val="0017194A"/>
    <w:pPr>
      <w:numPr>
        <w:ilvl w:val="1"/>
      </w:numPr>
    </w:pPr>
    <w:rPr>
      <w:b w:val="0"/>
      <w:bCs w:val="0"/>
      <w:sz w:val="26"/>
      <w:szCs w:val="26"/>
    </w:rPr>
  </w:style>
  <w:style w:type="character" w:customStyle="1" w:styleId="Head2Char">
    <w:name w:val="Head2 Char"/>
    <w:basedOn w:val="DefaultParagraphFont"/>
    <w:link w:val="Head2"/>
    <w:rsid w:val="0017194A"/>
    <w:rPr>
      <w:rFonts w:ascii="Calibri" w:eastAsiaTheme="majorEastAsia" w:hAnsi="Calibri" w:cstheme="minorHAnsi"/>
      <w:sz w:val="26"/>
      <w:szCs w:val="26"/>
    </w:rPr>
  </w:style>
  <w:style w:type="paragraph" w:customStyle="1" w:styleId="Head3">
    <w:name w:val="Head3"/>
    <w:basedOn w:val="Head2"/>
    <w:link w:val="Head3Char"/>
    <w:qFormat/>
    <w:rsid w:val="0017194A"/>
    <w:pPr>
      <w:numPr>
        <w:ilvl w:val="2"/>
      </w:numPr>
    </w:pPr>
    <w:rPr>
      <w:rFonts w:eastAsia="Times New Roman"/>
      <w:color w:val="0A2F40" w:themeColor="accent1" w:themeShade="7F"/>
      <w:sz w:val="24"/>
      <w:szCs w:val="24"/>
      <w:lang w:eastAsia="en-GB"/>
    </w:rPr>
  </w:style>
  <w:style w:type="character" w:customStyle="1" w:styleId="Head3Char">
    <w:name w:val="Head3 Char"/>
    <w:basedOn w:val="DefaultParagraphFont"/>
    <w:link w:val="Head3"/>
    <w:rsid w:val="0017194A"/>
    <w:rPr>
      <w:rFonts w:ascii="Calibri" w:eastAsia="Times New Roman" w:hAnsi="Calibri" w:cstheme="minorHAnsi"/>
      <w:color w:val="0A2F40" w:themeColor="accent1" w:themeShade="7F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7194A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Head4">
    <w:name w:val="Head4"/>
    <w:basedOn w:val="Heading4"/>
    <w:link w:val="Head4Char"/>
    <w:qFormat/>
    <w:rsid w:val="0017194A"/>
    <w:pPr>
      <w:numPr>
        <w:numId w:val="5"/>
      </w:numPr>
      <w:spacing w:before="0" w:after="120"/>
    </w:pPr>
    <w:rPr>
      <w:rFonts w:cstheme="minorHAnsi"/>
      <w:i w:val="0"/>
      <w:iCs w:val="0"/>
      <w:sz w:val="24"/>
      <w:szCs w:val="24"/>
      <w:lang w:eastAsia="en-GB"/>
    </w:rPr>
  </w:style>
  <w:style w:type="character" w:customStyle="1" w:styleId="Head4Char">
    <w:name w:val="Head4 Char"/>
    <w:basedOn w:val="Heading4Char"/>
    <w:link w:val="Head4"/>
    <w:rsid w:val="0017194A"/>
    <w:rPr>
      <w:rFonts w:asciiTheme="majorHAnsi" w:eastAsiaTheme="majorEastAsia" w:hAnsiTheme="majorHAnsi" w:cstheme="minorHAnsi"/>
      <w:i w:val="0"/>
      <w:iCs w:val="0"/>
      <w:color w:val="0F4761" w:themeColor="accent1" w:themeShade="BF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71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94A"/>
  </w:style>
  <w:style w:type="character" w:customStyle="1" w:styleId="Heading1Char">
    <w:name w:val="Heading 1 Char"/>
    <w:basedOn w:val="DefaultParagraphFont"/>
    <w:link w:val="Heading1"/>
    <w:uiPriority w:val="9"/>
    <w:rsid w:val="0017194A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194A"/>
    <w:rPr>
      <w:rFonts w:eastAsiaTheme="majorEastAsia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94A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07DB4"/>
    <w:pPr>
      <w:numPr>
        <w:numId w:val="12"/>
      </w:numPr>
      <w:spacing w:before="120" w:after="0"/>
    </w:pPr>
  </w:style>
  <w:style w:type="numbering" w:customStyle="1" w:styleId="NumberedHeadings">
    <w:name w:val="Numbered Headings"/>
    <w:uiPriority w:val="99"/>
    <w:rsid w:val="0017194A"/>
    <w:pPr>
      <w:numPr>
        <w:numId w:val="9"/>
      </w:numPr>
    </w:pPr>
  </w:style>
  <w:style w:type="numbering" w:customStyle="1" w:styleId="NumberedHeadings1">
    <w:name w:val="Numbered Headings(1)"/>
    <w:uiPriority w:val="99"/>
    <w:rsid w:val="0017194A"/>
    <w:pPr>
      <w:numPr>
        <w:numId w:val="4"/>
      </w:numPr>
    </w:pPr>
  </w:style>
  <w:style w:type="table" w:styleId="TableGrid">
    <w:name w:val="Table Grid"/>
    <w:basedOn w:val="TableNormal"/>
    <w:uiPriority w:val="39"/>
    <w:rsid w:val="0017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719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6031A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1A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0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C40BD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6C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6C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6CC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1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1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1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01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0187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01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01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018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F01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01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01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0187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2F01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1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gml.noaa.gov/aggi/aggi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EB9BC5-E859-45A9-A630-AC7A5510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2457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Chris</dc:creator>
  <cp:keywords/>
  <dc:description/>
  <cp:lastModifiedBy>Robert Chris</cp:lastModifiedBy>
  <cp:revision>221</cp:revision>
  <dcterms:created xsi:type="dcterms:W3CDTF">2024-06-26T12:00:00Z</dcterms:created>
  <dcterms:modified xsi:type="dcterms:W3CDTF">2024-06-28T20:39:00Z</dcterms:modified>
</cp:coreProperties>
</file>